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0517D" w14:textId="77777777" w:rsidR="00453F17" w:rsidRPr="00184CA0" w:rsidRDefault="00453F17" w:rsidP="00E1126C">
      <w:pPr>
        <w:jc w:val="center"/>
        <w:rPr>
          <w:sz w:val="22"/>
          <w:szCs w:val="22"/>
          <w:lang w:val="ru-RU"/>
        </w:rPr>
      </w:pPr>
    </w:p>
    <w:p w14:paraId="7280517E" w14:textId="77777777" w:rsidR="00453F17" w:rsidRPr="00184CA0" w:rsidRDefault="00453F17" w:rsidP="00E1126C">
      <w:pPr>
        <w:jc w:val="center"/>
        <w:rPr>
          <w:sz w:val="22"/>
          <w:szCs w:val="22"/>
          <w:lang w:val="ru-RU"/>
        </w:rPr>
      </w:pPr>
    </w:p>
    <w:p w14:paraId="72805180" w14:textId="77777777" w:rsidR="00453F17" w:rsidRPr="00E1126C" w:rsidRDefault="00453F17" w:rsidP="00E1126C">
      <w:pPr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Исх.№ ____________</w:t>
      </w:r>
    </w:p>
    <w:p w14:paraId="72805181" w14:textId="77777777" w:rsidR="00453F17" w:rsidRPr="00E1126C" w:rsidRDefault="00453F17" w:rsidP="00E1126C">
      <w:pPr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 xml:space="preserve">Дата </w:t>
      </w:r>
      <w:r w:rsidRPr="00E1126C">
        <w:rPr>
          <w:sz w:val="22"/>
          <w:szCs w:val="22"/>
          <w:lang w:val="ru-RU"/>
        </w:rPr>
        <w:tab/>
        <w:t>____________</w:t>
      </w:r>
    </w:p>
    <w:p w14:paraId="173DB6DB" w14:textId="77777777" w:rsidR="00453349" w:rsidRPr="00921FD2" w:rsidRDefault="00453349" w:rsidP="00453349">
      <w:pPr>
        <w:ind w:left="5040"/>
        <w:rPr>
          <w:sz w:val="22"/>
          <w:lang w:val="ru-RU"/>
        </w:rPr>
      </w:pPr>
      <w:r w:rsidRPr="00921FD2">
        <w:rPr>
          <w:sz w:val="22"/>
          <w:lang w:val="ru-RU"/>
        </w:rPr>
        <w:t xml:space="preserve">Главному исполнительному директору </w:t>
      </w:r>
    </w:p>
    <w:p w14:paraId="359CAB47" w14:textId="77777777" w:rsidR="00453349" w:rsidRPr="00921FD2" w:rsidRDefault="00453349" w:rsidP="00453349">
      <w:pPr>
        <w:ind w:left="5040"/>
        <w:rPr>
          <w:sz w:val="22"/>
          <w:lang w:val="ru-RU"/>
        </w:rPr>
      </w:pPr>
      <w:r w:rsidRPr="00921FD2">
        <w:rPr>
          <w:sz w:val="22"/>
          <w:lang w:val="ru-RU"/>
        </w:rPr>
        <w:t>АО «</w:t>
      </w:r>
      <w:proofErr w:type="spellStart"/>
      <w:r w:rsidRPr="00921FD2">
        <w:rPr>
          <w:sz w:val="22"/>
          <w:lang w:val="ru-RU"/>
        </w:rPr>
        <w:t>Кселл</w:t>
      </w:r>
      <w:proofErr w:type="spellEnd"/>
      <w:r w:rsidRPr="00921FD2">
        <w:rPr>
          <w:sz w:val="22"/>
          <w:lang w:val="ru-RU"/>
        </w:rPr>
        <w:t>»</w:t>
      </w:r>
    </w:p>
    <w:p w14:paraId="566393B7" w14:textId="7350E679" w:rsidR="00453349" w:rsidRPr="00921FD2" w:rsidRDefault="00453349" w:rsidP="00921FD2">
      <w:pPr>
        <w:rPr>
          <w:sz w:val="22"/>
          <w:lang w:val="ru-RU"/>
        </w:rPr>
      </w:pPr>
    </w:p>
    <w:p w14:paraId="4526B3EA" w14:textId="77777777" w:rsidR="00453349" w:rsidRPr="00921FD2" w:rsidRDefault="00453349" w:rsidP="00921FD2">
      <w:pPr>
        <w:jc w:val="both"/>
        <w:rPr>
          <w:sz w:val="22"/>
          <w:lang w:val="ru-RU"/>
        </w:rPr>
      </w:pPr>
    </w:p>
    <w:p w14:paraId="78D0E914" w14:textId="36458460" w:rsidR="00453349" w:rsidRPr="00921FD2" w:rsidRDefault="00453349" w:rsidP="00453349">
      <w:pPr>
        <w:jc w:val="both"/>
        <w:rPr>
          <w:sz w:val="22"/>
          <w:lang w:val="ru-RU"/>
        </w:rPr>
      </w:pPr>
      <w:r w:rsidRPr="00921FD2">
        <w:rPr>
          <w:sz w:val="22"/>
          <w:lang w:val="ru-RU"/>
        </w:rPr>
        <w:t xml:space="preserve">Просим Вас с </w:t>
      </w:r>
      <w:r w:rsidRPr="00E1126C">
        <w:rPr>
          <w:sz w:val="22"/>
          <w:szCs w:val="22"/>
          <w:lang w:val="ru-RU"/>
        </w:rPr>
        <w:t>«__» ______ 20__ года</w:t>
      </w:r>
      <w:r w:rsidRPr="00921FD2">
        <w:rPr>
          <w:sz w:val="22"/>
          <w:lang w:val="ru-RU"/>
        </w:rPr>
        <w:t xml:space="preserve"> подключить нижеуказанные </w:t>
      </w:r>
      <w:r w:rsidRPr="00E1126C">
        <w:rPr>
          <w:sz w:val="22"/>
          <w:szCs w:val="22"/>
          <w:lang w:val="ru-RU"/>
        </w:rPr>
        <w:t xml:space="preserve">корпоративные </w:t>
      </w:r>
      <w:r w:rsidRPr="00921FD2">
        <w:rPr>
          <w:sz w:val="22"/>
          <w:lang w:val="ru-RU"/>
        </w:rPr>
        <w:t xml:space="preserve">тарифные планы </w:t>
      </w:r>
      <w:r w:rsidR="00650CE6">
        <w:rPr>
          <w:sz w:val="22"/>
          <w:lang w:val="ru-RU"/>
        </w:rPr>
        <w:t>__________</w:t>
      </w:r>
      <w:r w:rsidRPr="00921FD2">
        <w:rPr>
          <w:sz w:val="22"/>
          <w:lang w:val="ru-RU"/>
        </w:rPr>
        <w:t xml:space="preserve">на нижеуказанные абонентские номера, оформленные на </w:t>
      </w:r>
      <w:r w:rsidRPr="00E1126C">
        <w:rPr>
          <w:i/>
          <w:noProof/>
          <w:sz w:val="22"/>
          <w:szCs w:val="22"/>
          <w:lang w:val="ru-RU"/>
        </w:rPr>
        <w:t>ТОО «____</w:t>
      </w:r>
      <w:r w:rsidRPr="00E1126C">
        <w:rPr>
          <w:i/>
          <w:sz w:val="22"/>
          <w:szCs w:val="22"/>
          <w:lang w:val="ru-RU"/>
        </w:rPr>
        <w:t>»</w:t>
      </w:r>
      <w:r w:rsidRPr="00921FD2">
        <w:rPr>
          <w:sz w:val="22"/>
          <w:lang w:val="ru-RU"/>
        </w:rPr>
        <w:t xml:space="preserve"> (далее - Компания)</w:t>
      </w:r>
      <w:r w:rsidRPr="00921FD2">
        <w:rPr>
          <w:lang w:val="ru-RU"/>
        </w:rPr>
        <w:t xml:space="preserve"> </w:t>
      </w:r>
      <w:r w:rsidRPr="00E1126C">
        <w:rPr>
          <w:sz w:val="22"/>
          <w:szCs w:val="22"/>
          <w:lang w:val="ru-RU"/>
        </w:rPr>
        <w:t xml:space="preserve">и/или третьих лиц </w:t>
      </w:r>
      <w:r w:rsidRPr="00921FD2">
        <w:rPr>
          <w:sz w:val="22"/>
          <w:lang w:val="ru-RU"/>
        </w:rPr>
        <w:t xml:space="preserve">с </w:t>
      </w:r>
      <w:r w:rsidRPr="00E1126C">
        <w:rPr>
          <w:sz w:val="22"/>
          <w:szCs w:val="22"/>
          <w:lang w:val="ru-RU"/>
        </w:rPr>
        <w:t>включением их в корпоративную группу Компании</w:t>
      </w:r>
      <w:r w:rsidRPr="00921FD2">
        <w:rPr>
          <w:sz w:val="22"/>
          <w:lang w:val="ru-RU"/>
        </w:rPr>
        <w:t xml:space="preserve">:    </w:t>
      </w:r>
    </w:p>
    <w:p w14:paraId="018A92A4" w14:textId="77777777" w:rsidR="00453349" w:rsidRPr="00E1126C" w:rsidRDefault="00453349" w:rsidP="00453349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4890" w:type="pct"/>
        <w:tblLook w:val="04A0" w:firstRow="1" w:lastRow="0" w:firstColumn="1" w:lastColumn="0" w:noHBand="0" w:noVBand="1"/>
      </w:tblPr>
      <w:tblGrid>
        <w:gridCol w:w="1553"/>
        <w:gridCol w:w="1253"/>
        <w:gridCol w:w="1821"/>
        <w:gridCol w:w="1540"/>
        <w:gridCol w:w="1354"/>
        <w:gridCol w:w="1378"/>
        <w:gridCol w:w="1204"/>
      </w:tblGrid>
      <w:tr w:rsidR="00453349" w:rsidRPr="00E1126C" w14:paraId="008C597E" w14:textId="77777777" w:rsidTr="00826775">
        <w:trPr>
          <w:trHeight w:val="44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401F" w14:textId="77777777" w:rsidR="00453349" w:rsidRPr="00E1126C" w:rsidRDefault="00453349" w:rsidP="00826775">
            <w:pPr>
              <w:pStyle w:val="MediumGrid21"/>
              <w:rPr>
                <w:sz w:val="22"/>
                <w:szCs w:val="22"/>
                <w:lang w:val="ru-RU"/>
              </w:rPr>
            </w:pPr>
            <w:bookmarkStart w:id="0" w:name="_Hlk14338286"/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Абонентский номер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4FC" w14:textId="77777777" w:rsidR="00453349" w:rsidRPr="00E1126C" w:rsidRDefault="00453349" w:rsidP="00826775">
            <w:pPr>
              <w:pStyle w:val="MediumGrid21"/>
              <w:rPr>
                <w:sz w:val="22"/>
                <w:szCs w:val="22"/>
                <w:lang w:val="ru-RU"/>
              </w:rPr>
            </w:pP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Тарифный план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170A" w14:textId="5B6DC0B9" w:rsidR="00453349" w:rsidRPr="00E1126C" w:rsidRDefault="00453349" w:rsidP="00826775">
            <w:pPr>
              <w:pStyle w:val="MediumGrid21"/>
              <w:rPr>
                <w:sz w:val="22"/>
                <w:szCs w:val="22"/>
                <w:lang w:val="ru-RU"/>
              </w:rPr>
            </w:pP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Доступ на международные направления </w:t>
            </w:r>
            <w:r w:rsidRPr="00921FD2">
              <w:rPr>
                <w:i/>
                <w:color w:val="000000"/>
                <w:sz w:val="22"/>
                <w:lang w:val="ru-RU"/>
              </w:rPr>
              <w:t>(да/нет)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BF44" w14:textId="77777777" w:rsidR="00453349" w:rsidRPr="00E1126C" w:rsidRDefault="00453349" w:rsidP="00826775">
            <w:pPr>
              <w:pStyle w:val="MediumGrid21"/>
              <w:rPr>
                <w:sz w:val="22"/>
                <w:szCs w:val="22"/>
                <w:lang w:val="ru-RU"/>
              </w:rPr>
            </w:pP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Детализация счета </w:t>
            </w:r>
            <w:r w:rsidRPr="00921FD2">
              <w:rPr>
                <w:i/>
                <w:color w:val="000000"/>
                <w:sz w:val="22"/>
                <w:lang w:val="ru-RU"/>
              </w:rPr>
              <w:t>(да/нет)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501" w14:textId="77777777" w:rsidR="00453349" w:rsidRPr="00E1126C" w:rsidRDefault="00453349" w:rsidP="00826775">
            <w:pPr>
              <w:pStyle w:val="MediumGrid21"/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</w:pP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>Порядок расчета</w:t>
            </w: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br/>
            </w:r>
            <w:r w:rsidRPr="00E1126C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(</w:t>
            </w:r>
            <w:r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t>авансовый/</w:t>
            </w:r>
            <w:r w:rsidRPr="00E1126C">
              <w:rPr>
                <w:rFonts w:eastAsia="Times New Roman"/>
                <w:bCs/>
                <w:i/>
                <w:color w:val="000000"/>
                <w:sz w:val="22"/>
                <w:szCs w:val="22"/>
                <w:lang w:val="ru-RU"/>
              </w:rPr>
              <w:br/>
              <w:t>кредитный)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2522" w14:textId="77777777" w:rsidR="00453349" w:rsidRPr="00E1126C" w:rsidRDefault="00453349" w:rsidP="00826775">
            <w:pPr>
              <w:pStyle w:val="MediumGrid21"/>
              <w:rPr>
                <w:rFonts w:eastAsia="Times New Roman"/>
                <w:b/>
                <w:color w:val="000000"/>
                <w:sz w:val="22"/>
                <w:szCs w:val="22"/>
                <w:lang w:val="ru-RU"/>
              </w:rPr>
            </w:pPr>
            <w:r w:rsidRPr="00E1126C">
              <w:rPr>
                <w:rFonts w:eastAsia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Кредитный лимит, </w:t>
            </w:r>
            <w:r w:rsidRPr="00E1126C">
              <w:rPr>
                <w:rFonts w:eastAsia="Times New Roman"/>
                <w:i/>
                <w:color w:val="000000"/>
                <w:sz w:val="22"/>
                <w:szCs w:val="22"/>
                <w:lang w:val="ru-RU"/>
              </w:rPr>
              <w:t>тенге 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673C" w14:textId="77777777" w:rsidR="00453349" w:rsidRPr="00E1126C" w:rsidRDefault="00453349" w:rsidP="00826775">
            <w:pPr>
              <w:pStyle w:val="MediumGrid21"/>
              <w:rPr>
                <w:sz w:val="22"/>
                <w:szCs w:val="22"/>
                <w:lang w:val="ru-RU"/>
              </w:rPr>
            </w:pPr>
            <w:r w:rsidRPr="00E1126C">
              <w:rPr>
                <w:rFonts w:eastAsia="Times New Roman"/>
                <w:b/>
                <w:i/>
                <w:color w:val="000000" w:themeColor="text1"/>
                <w:sz w:val="22"/>
                <w:szCs w:val="22"/>
                <w:lang w:val="ru-RU"/>
              </w:rPr>
              <w:t xml:space="preserve">Контроль лимита, </w:t>
            </w:r>
            <w:r w:rsidRPr="00E1126C">
              <w:rPr>
                <w:rFonts w:eastAsia="Times New Roman"/>
                <w:i/>
                <w:color w:val="000000" w:themeColor="text1"/>
                <w:sz w:val="22"/>
                <w:szCs w:val="22"/>
                <w:lang w:val="ru-RU"/>
              </w:rPr>
              <w:t>тенге **</w:t>
            </w:r>
          </w:p>
        </w:tc>
        <w:bookmarkEnd w:id="0"/>
      </w:tr>
      <w:tr w:rsidR="00453349" w:rsidRPr="00E1126C" w14:paraId="37CA4384" w14:textId="77777777" w:rsidTr="00826775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172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E83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A20" w14:textId="77777777" w:rsidR="00453349" w:rsidRPr="00921FD2" w:rsidRDefault="00453349" w:rsidP="00826775">
            <w:pPr>
              <w:pStyle w:val="MediumGrid21"/>
              <w:jc w:val="both"/>
              <w:rPr>
                <w:sz w:val="22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E77" w14:textId="77777777" w:rsidR="00453349" w:rsidRPr="00921FD2" w:rsidRDefault="00453349" w:rsidP="00921FD2">
            <w:pPr>
              <w:pStyle w:val="MediumGrid21"/>
              <w:jc w:val="both"/>
              <w:rPr>
                <w:sz w:val="22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EA0" w14:textId="77777777" w:rsidR="00453349" w:rsidRPr="00921FD2" w:rsidRDefault="00453349" w:rsidP="00826775">
            <w:pPr>
              <w:pStyle w:val="MediumGrid21"/>
              <w:jc w:val="both"/>
              <w:rPr>
                <w:sz w:val="22"/>
                <w:lang w:val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7056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F69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453349" w:rsidRPr="00E1126C" w14:paraId="22F5C3AB" w14:textId="77777777" w:rsidTr="00826775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6A8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4B6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A9B7" w14:textId="77777777" w:rsidR="00453349" w:rsidRPr="00921FD2" w:rsidRDefault="00453349" w:rsidP="00826775">
            <w:pPr>
              <w:pStyle w:val="MediumGrid21"/>
              <w:jc w:val="both"/>
              <w:rPr>
                <w:sz w:val="22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E7E" w14:textId="77777777" w:rsidR="00453349" w:rsidRPr="00921FD2" w:rsidRDefault="00453349" w:rsidP="00921FD2">
            <w:pPr>
              <w:pStyle w:val="MediumGrid21"/>
              <w:jc w:val="both"/>
              <w:rPr>
                <w:sz w:val="22"/>
                <w:lang w:val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223" w14:textId="77777777" w:rsidR="00453349" w:rsidRPr="00921FD2" w:rsidRDefault="00453349" w:rsidP="00826775">
            <w:pPr>
              <w:pStyle w:val="MediumGrid21"/>
              <w:jc w:val="both"/>
              <w:rPr>
                <w:sz w:val="22"/>
                <w:lang w:val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1D95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EB1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14:paraId="49604904" w14:textId="77777777" w:rsidR="00453349" w:rsidRPr="00921FD2" w:rsidRDefault="00453349" w:rsidP="00453349">
      <w:pPr>
        <w:jc w:val="both"/>
        <w:rPr>
          <w:sz w:val="22"/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552"/>
        <w:gridCol w:w="6520"/>
      </w:tblGrid>
      <w:tr w:rsidR="00453349" w:rsidRPr="00FF6822" w14:paraId="33B0346C" w14:textId="77777777" w:rsidTr="008267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0CC0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</w:rPr>
            </w:pPr>
            <w:bookmarkStart w:id="1" w:name="_Hlk14338415"/>
            <w:r w:rsidRPr="00E1126C">
              <w:rPr>
                <w:sz w:val="22"/>
                <w:szCs w:val="22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39D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CAE9" w14:textId="77777777" w:rsidR="00453349" w:rsidRPr="00E1126C" w:rsidRDefault="00453349" w:rsidP="00826775">
            <w:pPr>
              <w:pStyle w:val="MediumGrid21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В случае необходимости получения ежемесячной детализации,  а также для получения информационных сообщений от АО «</w:t>
            </w:r>
            <w:proofErr w:type="spellStart"/>
            <w:r w:rsidRPr="00E1126C">
              <w:rPr>
                <w:sz w:val="22"/>
                <w:szCs w:val="22"/>
                <w:lang w:val="ru-RU"/>
              </w:rPr>
              <w:t>Кселл</w:t>
            </w:r>
            <w:proofErr w:type="spellEnd"/>
            <w:r w:rsidRPr="00E1126C">
              <w:rPr>
                <w:sz w:val="22"/>
                <w:szCs w:val="22"/>
                <w:lang w:val="ru-RU"/>
              </w:rPr>
              <w:t>»</w:t>
            </w:r>
          </w:p>
        </w:tc>
        <w:bookmarkEnd w:id="1"/>
      </w:tr>
    </w:tbl>
    <w:p w14:paraId="09D7DCAB" w14:textId="77777777" w:rsidR="00453349" w:rsidRPr="00921FD2" w:rsidRDefault="00453349" w:rsidP="00453349">
      <w:pPr>
        <w:jc w:val="both"/>
        <w:rPr>
          <w:sz w:val="22"/>
          <w:lang w:val="ru-RU"/>
        </w:rPr>
      </w:pPr>
    </w:p>
    <w:p w14:paraId="39393FE6" w14:textId="77777777" w:rsidR="00453349" w:rsidRPr="00921FD2" w:rsidRDefault="00453349" w:rsidP="00453349">
      <w:pPr>
        <w:jc w:val="both"/>
        <w:rPr>
          <w:sz w:val="22"/>
          <w:lang w:val="ru-RU"/>
        </w:rPr>
      </w:pPr>
      <w:r w:rsidRPr="00921FD2">
        <w:rPr>
          <w:sz w:val="22"/>
          <w:lang w:val="ru-RU"/>
        </w:rPr>
        <w:t xml:space="preserve">При необходимости объединения вышеуказанных абонентских номеров на существующий общий лицевой счет, указывать любой действующий номер из общего лицевого счета, </w:t>
      </w:r>
      <w:r w:rsidRPr="00921FD2">
        <w:rPr>
          <w:sz w:val="22"/>
        </w:rPr>
        <w:t>c</w:t>
      </w:r>
      <w:r w:rsidRPr="00921FD2">
        <w:rPr>
          <w:sz w:val="22"/>
          <w:lang w:val="ru-RU"/>
        </w:rPr>
        <w:t xml:space="preserve"> которым необходимо объединить: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</w:tblGrid>
      <w:tr w:rsidR="00453349" w:rsidRPr="00E1126C" w14:paraId="30FC1891" w14:textId="77777777" w:rsidTr="00826775">
        <w:tc>
          <w:tcPr>
            <w:tcW w:w="2694" w:type="dxa"/>
          </w:tcPr>
          <w:p w14:paraId="645521BC" w14:textId="77777777" w:rsidR="00453349" w:rsidRPr="00E1126C" w:rsidRDefault="00453349" w:rsidP="00453349">
            <w:pPr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+7 ХХХ ХХХХ</w:t>
            </w:r>
          </w:p>
        </w:tc>
      </w:tr>
    </w:tbl>
    <w:p w14:paraId="52474266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</w:p>
    <w:p w14:paraId="12CB2716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bookmarkStart w:id="2" w:name="_Hlk13761299"/>
      <w:r w:rsidRPr="00E1126C">
        <w:rPr>
          <w:sz w:val="22"/>
          <w:szCs w:val="22"/>
          <w:lang w:val="ru-RU"/>
        </w:rPr>
        <w:t>В случае создания нового общего лицевого счета из вышеуказанных номеров, укажите «Да» _______</w:t>
      </w:r>
    </w:p>
    <w:p w14:paraId="16A73D47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 xml:space="preserve">В случае списания абонентской платы с Контроля лимита, укажите «Да»       </w:t>
      </w:r>
      <w:r w:rsidRPr="00E1126C">
        <w:rPr>
          <w:sz w:val="22"/>
          <w:szCs w:val="22"/>
          <w:lang w:val="ru-RU"/>
        </w:rPr>
        <w:tab/>
      </w:r>
      <w:r w:rsidRPr="00E1126C">
        <w:rPr>
          <w:sz w:val="22"/>
          <w:szCs w:val="22"/>
          <w:lang w:val="ru-RU"/>
        </w:rPr>
        <w:tab/>
        <w:t xml:space="preserve">     _______  </w:t>
      </w:r>
    </w:p>
    <w:p w14:paraId="28E68ECE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 xml:space="preserve">В случае списания абонентской платы с общего лицевого счета, укажите «Да» </w:t>
      </w:r>
      <w:r w:rsidRPr="00E1126C">
        <w:rPr>
          <w:sz w:val="22"/>
          <w:szCs w:val="22"/>
          <w:lang w:val="ru-RU"/>
        </w:rPr>
        <w:tab/>
      </w:r>
      <w:r w:rsidRPr="00E1126C">
        <w:rPr>
          <w:sz w:val="22"/>
          <w:szCs w:val="22"/>
          <w:lang w:val="ru-RU"/>
        </w:rPr>
        <w:tab/>
        <w:t xml:space="preserve">     _______</w:t>
      </w:r>
      <w:bookmarkEnd w:id="2"/>
    </w:p>
    <w:p w14:paraId="30014FA6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</w:p>
    <w:p w14:paraId="3D5972D7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bookmarkStart w:id="3" w:name="_Hlk14338538"/>
      <w:proofErr w:type="gramStart"/>
      <w:r w:rsidRPr="00E1126C">
        <w:rPr>
          <w:sz w:val="22"/>
          <w:szCs w:val="22"/>
          <w:lang w:val="ru-RU"/>
        </w:rPr>
        <w:t>Подтверждаем свое согласие с тем, что услуги по абонентским номерам, оформленным на общий лицевой счет, доступны только в случае наличия положительного баланса на общем лицевом счете (для авансового порядка расчетов) и в пределах общего кредитного лимита или индивидуального кредитного лимита (для</w:t>
      </w:r>
      <w:proofErr w:type="gramEnd"/>
      <w:r w:rsidRPr="00E1126C">
        <w:rPr>
          <w:sz w:val="22"/>
          <w:szCs w:val="22"/>
          <w:lang w:val="ru-RU"/>
        </w:rPr>
        <w:t xml:space="preserve"> кредитного порядка расчетов). </w:t>
      </w:r>
    </w:p>
    <w:p w14:paraId="2B976C49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</w:p>
    <w:bookmarkEnd w:id="3"/>
    <w:p w14:paraId="6B21FF9D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* Кредитный лимит:</w:t>
      </w:r>
    </w:p>
    <w:p w14:paraId="125814BC" w14:textId="77777777" w:rsidR="00453349" w:rsidRPr="00E1126C" w:rsidRDefault="00453349" w:rsidP="00453349">
      <w:pPr>
        <w:pStyle w:val="MediumGrid21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E1126C">
        <w:rPr>
          <w:b/>
          <w:bCs/>
          <w:sz w:val="22"/>
          <w:szCs w:val="22"/>
          <w:lang w:val="ru-RU"/>
        </w:rPr>
        <w:t xml:space="preserve">Общий кредитный лимит - </w:t>
      </w:r>
      <w:r w:rsidRPr="00E1126C">
        <w:rPr>
          <w:sz w:val="22"/>
          <w:szCs w:val="22"/>
          <w:lang w:val="ru-RU"/>
        </w:rPr>
        <w:t xml:space="preserve">Если используется общий кредитный лимит, то необходимо указать сумму общего кредитного лимита напротив одного </w:t>
      </w:r>
      <w:r w:rsidRPr="00E1126C">
        <w:rPr>
          <w:b/>
          <w:sz w:val="22"/>
          <w:szCs w:val="22"/>
          <w:lang w:val="ru-RU"/>
        </w:rPr>
        <w:t>любого</w:t>
      </w:r>
      <w:r w:rsidRPr="00E1126C">
        <w:rPr>
          <w:sz w:val="22"/>
          <w:szCs w:val="22"/>
          <w:lang w:val="ru-RU"/>
        </w:rPr>
        <w:t xml:space="preserve"> абонентского номера;</w:t>
      </w:r>
    </w:p>
    <w:p w14:paraId="58203CF3" w14:textId="77777777" w:rsidR="00453349" w:rsidRPr="00E1126C" w:rsidRDefault="00453349" w:rsidP="00453349">
      <w:pPr>
        <w:pStyle w:val="MediumGrid21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E1126C">
        <w:rPr>
          <w:b/>
          <w:bCs/>
          <w:sz w:val="22"/>
          <w:szCs w:val="22"/>
          <w:lang w:val="ru-RU"/>
        </w:rPr>
        <w:t>Раздельный кредитный лимит -</w:t>
      </w:r>
      <w:r w:rsidRPr="00E1126C">
        <w:rPr>
          <w:sz w:val="22"/>
          <w:szCs w:val="22"/>
          <w:lang w:val="ru-RU"/>
        </w:rPr>
        <w:t xml:space="preserve"> Если используется раздельный кредитный лимит, то необходимо указать сумму кредитного лимита напротив </w:t>
      </w:r>
      <w:r w:rsidRPr="00E1126C">
        <w:rPr>
          <w:b/>
          <w:sz w:val="22"/>
          <w:szCs w:val="22"/>
          <w:lang w:val="ru-RU"/>
        </w:rPr>
        <w:t>каждого</w:t>
      </w:r>
      <w:r w:rsidRPr="00E1126C">
        <w:rPr>
          <w:sz w:val="22"/>
          <w:szCs w:val="22"/>
          <w:lang w:val="ru-RU"/>
        </w:rPr>
        <w:t xml:space="preserve"> абонентского номера.</w:t>
      </w:r>
    </w:p>
    <w:p w14:paraId="67CF0925" w14:textId="77777777" w:rsidR="00453349" w:rsidRPr="00E1126C" w:rsidRDefault="00453349" w:rsidP="00453349">
      <w:pPr>
        <w:pStyle w:val="MediumGrid21"/>
        <w:ind w:left="360"/>
        <w:jc w:val="both"/>
        <w:rPr>
          <w:sz w:val="22"/>
          <w:szCs w:val="22"/>
          <w:lang w:val="ru-RU"/>
        </w:rPr>
      </w:pPr>
    </w:p>
    <w:p w14:paraId="0C9ECC9A" w14:textId="4C3A9771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 xml:space="preserve">**Указывать, если необходимо подключить Контроль лимита. </w:t>
      </w:r>
    </w:p>
    <w:p w14:paraId="431BE299" w14:textId="77777777" w:rsidR="00453349" w:rsidRPr="00E1126C" w:rsidRDefault="00453349" w:rsidP="00453349">
      <w:pPr>
        <w:pStyle w:val="MediumGrid21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Обратите внимание, что услуга Контроль Лимита предоставляется только при общем кредитном лимите (не применимо для авансового порядка расчетов):</w:t>
      </w:r>
    </w:p>
    <w:p w14:paraId="1FD0D955" w14:textId="77777777" w:rsidR="00453349" w:rsidRPr="00E1126C" w:rsidRDefault="00453349" w:rsidP="00453349">
      <w:pPr>
        <w:pStyle w:val="MediumGrid21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  <w:lang w:val="ru-RU"/>
        </w:rPr>
      </w:pPr>
      <w:r w:rsidRPr="00E1126C">
        <w:rPr>
          <w:bCs/>
          <w:color w:val="000000" w:themeColor="text1"/>
          <w:sz w:val="22"/>
          <w:szCs w:val="22"/>
          <w:lang w:val="ru-RU"/>
        </w:rPr>
        <w:t xml:space="preserve">Контроль лимита с учетом абонентской платы позволяет контролировать сумму </w:t>
      </w:r>
      <w:proofErr w:type="gramStart"/>
      <w:r w:rsidRPr="00E1126C">
        <w:rPr>
          <w:bCs/>
          <w:color w:val="000000" w:themeColor="text1"/>
          <w:sz w:val="22"/>
          <w:szCs w:val="22"/>
          <w:lang w:val="ru-RU"/>
        </w:rPr>
        <w:t>расходов</w:t>
      </w:r>
      <w:proofErr w:type="gramEnd"/>
      <w:r w:rsidRPr="00E1126C">
        <w:rPr>
          <w:bCs/>
          <w:color w:val="000000" w:themeColor="text1"/>
          <w:sz w:val="22"/>
          <w:szCs w:val="22"/>
          <w:lang w:val="ru-RU"/>
        </w:rPr>
        <w:t xml:space="preserve"> как по начислениям, так и по абонентской плате по тарифному плану или дополнительным услугам (за исключением начислений по разовым услугам, например, дополнительные интернет-пакеты);</w:t>
      </w:r>
    </w:p>
    <w:p w14:paraId="2A2E4BE0" w14:textId="77777777" w:rsidR="00453349" w:rsidRPr="00E1126C" w:rsidRDefault="00453349" w:rsidP="00453349">
      <w:pPr>
        <w:pStyle w:val="MediumGrid21"/>
        <w:numPr>
          <w:ilvl w:val="0"/>
          <w:numId w:val="7"/>
        </w:numPr>
        <w:jc w:val="both"/>
        <w:rPr>
          <w:bCs/>
          <w:color w:val="000000" w:themeColor="text1"/>
          <w:sz w:val="22"/>
          <w:szCs w:val="22"/>
          <w:lang w:val="ru-RU"/>
        </w:rPr>
      </w:pPr>
      <w:r w:rsidRPr="00E1126C">
        <w:rPr>
          <w:bCs/>
          <w:color w:val="000000" w:themeColor="text1"/>
          <w:sz w:val="22"/>
          <w:szCs w:val="22"/>
          <w:lang w:val="ru-RU"/>
        </w:rPr>
        <w:t xml:space="preserve">Контроль лимита без абонентской платы позволяет контролировать сумму расходов только по начислениям, без учета абонентской платы по тарифному плану или дополнительным услугам (за исключением начислений по разовым услугам, например, дополнительные </w:t>
      </w:r>
      <w:proofErr w:type="gramStart"/>
      <w:r w:rsidRPr="00E1126C">
        <w:rPr>
          <w:bCs/>
          <w:color w:val="000000" w:themeColor="text1"/>
          <w:sz w:val="22"/>
          <w:szCs w:val="22"/>
          <w:lang w:val="ru-RU"/>
        </w:rPr>
        <w:t>интернет-пакеты</w:t>
      </w:r>
      <w:proofErr w:type="gramEnd"/>
      <w:r w:rsidRPr="00E1126C">
        <w:rPr>
          <w:bCs/>
          <w:color w:val="000000" w:themeColor="text1"/>
          <w:sz w:val="22"/>
          <w:szCs w:val="22"/>
          <w:lang w:val="ru-RU"/>
        </w:rPr>
        <w:t>).</w:t>
      </w:r>
    </w:p>
    <w:p w14:paraId="4D219A7B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</w:p>
    <w:p w14:paraId="1D302CD0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В связи с подключением Тарифного плана просим отключить нижеуказанные услуги, если таковые подключены на вышеуказанных абонентских номерах (укажите «Да»):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453349" w:rsidRPr="00E1126C" w14:paraId="2D8D4D1B" w14:textId="77777777" w:rsidTr="00826775">
        <w:tc>
          <w:tcPr>
            <w:tcW w:w="2500" w:type="pct"/>
          </w:tcPr>
          <w:p w14:paraId="31BFB779" w14:textId="77777777" w:rsidR="00453349" w:rsidRPr="00E1126C" w:rsidRDefault="00453349" w:rsidP="00826775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 w:rsidRPr="00E1126C">
              <w:rPr>
                <w:sz w:val="22"/>
                <w:szCs w:val="22"/>
                <w:lang w:val="ru-RU"/>
              </w:rPr>
              <w:t>Безлимитный</w:t>
            </w:r>
            <w:proofErr w:type="spellEnd"/>
            <w:r w:rsidRPr="00E1126C">
              <w:rPr>
                <w:sz w:val="22"/>
                <w:szCs w:val="22"/>
                <w:lang w:val="ru-RU"/>
              </w:rPr>
              <w:t xml:space="preserve"> интернет»</w:t>
            </w:r>
          </w:p>
        </w:tc>
        <w:tc>
          <w:tcPr>
            <w:tcW w:w="2500" w:type="pct"/>
          </w:tcPr>
          <w:p w14:paraId="22EE5DB2" w14:textId="77777777" w:rsidR="00453349" w:rsidRPr="00E1126C" w:rsidRDefault="00453349" w:rsidP="00826775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453349" w:rsidRPr="00E1126C" w14:paraId="49D58AA2" w14:textId="77777777" w:rsidTr="00826775">
        <w:tc>
          <w:tcPr>
            <w:tcW w:w="2500" w:type="pct"/>
          </w:tcPr>
          <w:p w14:paraId="20D3DDAD" w14:textId="77777777" w:rsidR="00453349" w:rsidRPr="00E1126C" w:rsidRDefault="00453349" w:rsidP="00826775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«Мобильный интернет плюс»</w:t>
            </w:r>
          </w:p>
        </w:tc>
        <w:tc>
          <w:tcPr>
            <w:tcW w:w="2500" w:type="pct"/>
          </w:tcPr>
          <w:p w14:paraId="7AEBF9A8" w14:textId="77777777" w:rsidR="00453349" w:rsidRPr="00E1126C" w:rsidRDefault="00453349" w:rsidP="00826775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453349" w:rsidRPr="00E1126C" w14:paraId="26A596E7" w14:textId="77777777" w:rsidTr="00826775">
        <w:tc>
          <w:tcPr>
            <w:tcW w:w="2500" w:type="pct"/>
          </w:tcPr>
          <w:p w14:paraId="20343235" w14:textId="77777777" w:rsidR="00453349" w:rsidRPr="00E1126C" w:rsidRDefault="00453349" w:rsidP="00826775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</w:t>
            </w:r>
            <w:r w:rsidRPr="00E1126C">
              <w:rPr>
                <w:sz w:val="22"/>
                <w:szCs w:val="22"/>
              </w:rPr>
              <w:t>SMS</w:t>
            </w:r>
            <w:r w:rsidRPr="00E1126C">
              <w:rPr>
                <w:sz w:val="22"/>
                <w:szCs w:val="22"/>
                <w:lang w:val="ru-RU"/>
              </w:rPr>
              <w:t>-пакеты»</w:t>
            </w:r>
            <w:r w:rsidRPr="00E1126C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2500" w:type="pct"/>
          </w:tcPr>
          <w:p w14:paraId="0D76EE6D" w14:textId="77777777" w:rsidR="00453349" w:rsidRPr="00E1126C" w:rsidRDefault="00453349" w:rsidP="00826775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453349" w:rsidRPr="00E1126C" w14:paraId="1C242F74" w14:textId="77777777" w:rsidTr="00826775">
        <w:tc>
          <w:tcPr>
            <w:tcW w:w="2500" w:type="pct"/>
          </w:tcPr>
          <w:p w14:paraId="399AE473" w14:textId="77777777" w:rsidR="00453349" w:rsidRPr="00E1126C" w:rsidRDefault="00453349" w:rsidP="00826775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«</w:t>
            </w:r>
            <w:r w:rsidRPr="00E1126C">
              <w:rPr>
                <w:sz w:val="22"/>
                <w:szCs w:val="22"/>
              </w:rPr>
              <w:t>SMS</w:t>
            </w:r>
            <w:r w:rsidRPr="00E1126C">
              <w:rPr>
                <w:sz w:val="22"/>
                <w:szCs w:val="22"/>
                <w:lang w:val="ru-RU"/>
              </w:rPr>
              <w:t>+»</w:t>
            </w:r>
          </w:p>
        </w:tc>
        <w:tc>
          <w:tcPr>
            <w:tcW w:w="2500" w:type="pct"/>
          </w:tcPr>
          <w:p w14:paraId="063AE307" w14:textId="77777777" w:rsidR="00453349" w:rsidRPr="00E1126C" w:rsidRDefault="00453349" w:rsidP="00826775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  <w:tr w:rsidR="00453349" w:rsidRPr="00E1126C" w14:paraId="75E19237" w14:textId="77777777" w:rsidTr="00826775">
        <w:tc>
          <w:tcPr>
            <w:tcW w:w="2500" w:type="pct"/>
          </w:tcPr>
          <w:p w14:paraId="333D398D" w14:textId="77777777" w:rsidR="00453349" w:rsidRPr="00E1126C" w:rsidRDefault="00453349" w:rsidP="00826775">
            <w:pPr>
              <w:pStyle w:val="af0"/>
              <w:jc w:val="both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Интернет пакеты</w:t>
            </w:r>
          </w:p>
        </w:tc>
        <w:tc>
          <w:tcPr>
            <w:tcW w:w="2500" w:type="pct"/>
          </w:tcPr>
          <w:p w14:paraId="4ED5A9D8" w14:textId="77777777" w:rsidR="00453349" w:rsidRPr="00E1126C" w:rsidRDefault="00453349" w:rsidP="00826775">
            <w:pPr>
              <w:pStyle w:val="af0"/>
              <w:jc w:val="right"/>
              <w:rPr>
                <w:sz w:val="22"/>
                <w:szCs w:val="22"/>
                <w:lang w:val="ru-RU"/>
              </w:rPr>
            </w:pPr>
            <w:r w:rsidRPr="00E1126C">
              <w:rPr>
                <w:sz w:val="22"/>
                <w:szCs w:val="22"/>
                <w:lang w:val="ru-RU"/>
              </w:rPr>
              <w:t>_______</w:t>
            </w:r>
          </w:p>
        </w:tc>
      </w:tr>
    </w:tbl>
    <w:p w14:paraId="69B34482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proofErr w:type="gramStart"/>
      <w:r w:rsidRPr="00E1126C">
        <w:rPr>
          <w:sz w:val="22"/>
          <w:szCs w:val="22"/>
          <w:lang w:val="ru-RU"/>
        </w:rPr>
        <w:t xml:space="preserve">При подключении любого из Тарифных планов абонентская плата будет списана пропорционально количеству дней, оставшихся до конца календарного месяца, включая день подключения и затем каждое 1-ое число месяца с 00:00 до 05:00 по времени г. </w:t>
      </w:r>
      <w:proofErr w:type="spellStart"/>
      <w:r w:rsidRPr="00E1126C">
        <w:rPr>
          <w:sz w:val="22"/>
          <w:szCs w:val="22"/>
          <w:lang w:val="ru-RU"/>
        </w:rPr>
        <w:t>Нур</w:t>
      </w:r>
      <w:proofErr w:type="spellEnd"/>
      <w:r w:rsidRPr="00E1126C">
        <w:rPr>
          <w:sz w:val="22"/>
          <w:szCs w:val="22"/>
          <w:lang w:val="ru-RU"/>
        </w:rPr>
        <w:t>-Султан в полном объеме только при наличии достаточной суммы на балансе или кредитного лимита, в противном случае абонентская плата по Тарифному плану списана не</w:t>
      </w:r>
      <w:proofErr w:type="gramEnd"/>
      <w:r w:rsidRPr="00E1126C">
        <w:rPr>
          <w:sz w:val="22"/>
          <w:szCs w:val="22"/>
          <w:lang w:val="ru-RU"/>
        </w:rPr>
        <w:t xml:space="preserve"> будет. При достижении размера баланса или кредитного лимита суммы, достаточной для списания абонентской платы, после 05:00 абонентская плата будет списана в размере, пропорциональном количеству дней оставшихся до конца календарного месяца. При списании абонентской платы включенный пакет услуг по тарифным планам будет предоставлен в полном объеме. </w:t>
      </w:r>
    </w:p>
    <w:p w14:paraId="1D582B16" w14:textId="22F8501F" w:rsidR="00453349" w:rsidRPr="00E1126C" w:rsidRDefault="00453349" w:rsidP="00453349">
      <w:pPr>
        <w:autoSpaceDE w:val="0"/>
        <w:autoSpaceDN w:val="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При авансовом порядке расчетов - если при подключении Тарифного плана недостаточно сре</w:t>
      </w:r>
      <w:proofErr w:type="gramStart"/>
      <w:r w:rsidRPr="00E1126C">
        <w:rPr>
          <w:sz w:val="22"/>
          <w:szCs w:val="22"/>
          <w:lang w:val="ru-RU"/>
        </w:rPr>
        <w:t>дств дл</w:t>
      </w:r>
      <w:proofErr w:type="gramEnd"/>
      <w:r w:rsidRPr="00E1126C">
        <w:rPr>
          <w:sz w:val="22"/>
          <w:szCs w:val="22"/>
          <w:lang w:val="ru-RU"/>
        </w:rPr>
        <w:t xml:space="preserve">я списания абонентской платы, то Тарифный план будет подключен, при этом тарификация услуг будет осуществляться по тарифу, установленному для </w:t>
      </w:r>
      <w:proofErr w:type="spellStart"/>
      <w:r w:rsidRPr="00E1126C">
        <w:rPr>
          <w:sz w:val="22"/>
          <w:szCs w:val="22"/>
          <w:lang w:val="ru-RU"/>
        </w:rPr>
        <w:t>несписания</w:t>
      </w:r>
      <w:proofErr w:type="spellEnd"/>
      <w:r w:rsidRPr="00E1126C">
        <w:rPr>
          <w:sz w:val="22"/>
          <w:szCs w:val="22"/>
          <w:lang w:val="ru-RU"/>
        </w:rPr>
        <w:t>.</w:t>
      </w:r>
    </w:p>
    <w:p w14:paraId="5A79A822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При кредитном порядке расчетов - кредитный лимит должен превышать абонентскую плату по Тарифному плану, в противном случае подключение к Тарифному плану недоступно.</w:t>
      </w:r>
    </w:p>
    <w:p w14:paraId="08340296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В случае</w:t>
      </w:r>
      <w:proofErr w:type="gramStart"/>
      <w:r w:rsidRPr="00E1126C">
        <w:rPr>
          <w:sz w:val="22"/>
          <w:szCs w:val="22"/>
          <w:lang w:val="ru-RU"/>
        </w:rPr>
        <w:t>,</w:t>
      </w:r>
      <w:proofErr w:type="gramEnd"/>
      <w:r w:rsidRPr="00E1126C">
        <w:rPr>
          <w:sz w:val="22"/>
          <w:szCs w:val="22"/>
          <w:lang w:val="ru-RU"/>
        </w:rPr>
        <w:t xml:space="preserve"> если ранее услуга мобильного интернета была отключена, то при подключении Тарифного плана услуга мобильного интернета будет подключена с точкой доступа </w:t>
      </w:r>
      <w:proofErr w:type="spellStart"/>
      <w:r w:rsidRPr="00E1126C">
        <w:rPr>
          <w:sz w:val="22"/>
          <w:szCs w:val="22"/>
          <w:lang w:val="ru-RU"/>
        </w:rPr>
        <w:t>internet</w:t>
      </w:r>
      <w:proofErr w:type="spellEnd"/>
      <w:r w:rsidRPr="00E1126C">
        <w:rPr>
          <w:sz w:val="22"/>
          <w:szCs w:val="22"/>
          <w:lang w:val="ru-RU"/>
        </w:rPr>
        <w:t>.</w:t>
      </w:r>
    </w:p>
    <w:p w14:paraId="4E53ECFD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</w:p>
    <w:p w14:paraId="04B77E1B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 xml:space="preserve">Подтверждаем свое согласие с тем, что при отсутствии на балансе денежных средств, достаточных для оказания услуг связи (авансовый порядок расчетов) или исчерпания кредитного лимита (кредитный порядок расчетов), доступ к услуге исходящей связи блокируется, включая доступ к бонусному объему услуг, за исключением </w:t>
      </w:r>
      <w:proofErr w:type="gramStart"/>
      <w:r w:rsidRPr="00E1126C">
        <w:rPr>
          <w:sz w:val="22"/>
          <w:szCs w:val="22"/>
          <w:lang w:val="ru-RU"/>
        </w:rPr>
        <w:t>интернет-трафика</w:t>
      </w:r>
      <w:proofErr w:type="gramEnd"/>
      <w:r w:rsidRPr="00E1126C">
        <w:rPr>
          <w:sz w:val="22"/>
          <w:szCs w:val="22"/>
          <w:lang w:val="ru-RU"/>
        </w:rPr>
        <w:t xml:space="preserve"> и минут внутри сети. </w:t>
      </w:r>
    </w:p>
    <w:p w14:paraId="0E6D7D45" w14:textId="7EA648A2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Изменение Тарифного плана на другой тарифный план, осуществляется Компанией в любое время путем подключения любого другого доступного тарифного плана в соответствии с условиями его подключения. </w:t>
      </w:r>
    </w:p>
    <w:p w14:paraId="196B8108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При авансовом порядке расчетов - при отключении Тарифного плана оплаченная сумма абонентской платы возврату не подлежит, бонусный объем услуг перестает быть доступен.</w:t>
      </w:r>
    </w:p>
    <w:p w14:paraId="4C41D5E4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2"/>
          <w:szCs w:val="22"/>
          <w:lang w:val="ru-RU"/>
        </w:rPr>
        <w:t>При кредитном порядке расчетов - при отключении Тарифного плана сумма абонентской платы, списанной за текущий месяц, будет пересчитана пропорционально периоду пользования тарифным планом в этом месяце, бонусный объем услуг перестает быть доступен.</w:t>
      </w:r>
    </w:p>
    <w:p w14:paraId="14B75855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</w:p>
    <w:p w14:paraId="58C479D0" w14:textId="4C3D7C17" w:rsidR="00453349" w:rsidRPr="00921FD2" w:rsidRDefault="00453349" w:rsidP="00453349">
      <w:pPr>
        <w:jc w:val="both"/>
        <w:rPr>
          <w:sz w:val="22"/>
          <w:lang w:val="ru-RU"/>
        </w:rPr>
      </w:pPr>
      <w:bookmarkStart w:id="4" w:name="_Hlk14338893"/>
      <w:r w:rsidRPr="00921FD2">
        <w:rPr>
          <w:sz w:val="22"/>
          <w:lang w:val="ru-RU"/>
        </w:rPr>
        <w:t xml:space="preserve">Компания обязана при оплате за услуги связи указывать в целевом назначении платежа абонентский номер/номера с указанием оплачиваемых сумм по каждому номеру и/или корректный номер налоговой </w:t>
      </w:r>
      <w:proofErr w:type="gramStart"/>
      <w:r w:rsidRPr="00921FD2">
        <w:rPr>
          <w:sz w:val="22"/>
          <w:lang w:val="ru-RU"/>
        </w:rPr>
        <w:t>счет-фактуры</w:t>
      </w:r>
      <w:proofErr w:type="gramEnd"/>
      <w:r w:rsidRPr="00921FD2">
        <w:rPr>
          <w:sz w:val="22"/>
          <w:lang w:val="ru-RU"/>
        </w:rPr>
        <w:t>. В случае</w:t>
      </w:r>
      <w:proofErr w:type="gramStart"/>
      <w:r w:rsidRPr="00921FD2">
        <w:rPr>
          <w:sz w:val="22"/>
          <w:lang w:val="ru-RU"/>
        </w:rPr>
        <w:t>,</w:t>
      </w:r>
      <w:proofErr w:type="gramEnd"/>
      <w:r w:rsidRPr="00921FD2">
        <w:rPr>
          <w:sz w:val="22"/>
          <w:lang w:val="ru-RU"/>
        </w:rPr>
        <w:t xml:space="preserve"> если Компания имеет более 5 зарегистрированных на него номеров, то при оплате за оказанные Услуги Компания обязана предоставлять реестр согласно образцу, размещенному на официальном сайте Оператора по ссылке </w:t>
      </w:r>
      <w:r w:rsidR="005B0E86" w:rsidRPr="005B0E86">
        <w:rPr>
          <w:lang w:val="ru-RU"/>
        </w:rPr>
        <w:t xml:space="preserve"> </w:t>
      </w:r>
      <w:hyperlink r:id="rId12" w:history="1">
        <w:r w:rsidRPr="00E1126C">
          <w:rPr>
            <w:rStyle w:val="a4"/>
          </w:rPr>
          <w:t>https</w:t>
        </w:r>
        <w:r w:rsidRPr="00E1126C">
          <w:rPr>
            <w:rStyle w:val="a4"/>
            <w:lang w:val="ru-RU"/>
          </w:rPr>
          <w:t>://</w:t>
        </w:r>
        <w:r w:rsidRPr="00E1126C">
          <w:rPr>
            <w:rStyle w:val="a4"/>
          </w:rPr>
          <w:t>b</w:t>
        </w:r>
        <w:r w:rsidRPr="00E1126C">
          <w:rPr>
            <w:rStyle w:val="a4"/>
            <w:lang w:val="ru-RU"/>
          </w:rPr>
          <w:t>2</w:t>
        </w:r>
        <w:r w:rsidRPr="00E1126C">
          <w:rPr>
            <w:rStyle w:val="a4"/>
          </w:rPr>
          <w:t>b</w:t>
        </w:r>
        <w:r w:rsidRPr="00E1126C">
          <w:rPr>
            <w:rStyle w:val="a4"/>
            <w:lang w:val="ru-RU"/>
          </w:rPr>
          <w:t>.</w:t>
        </w:r>
        <w:proofErr w:type="spellStart"/>
        <w:r w:rsidRPr="00E1126C">
          <w:rPr>
            <w:rStyle w:val="a4"/>
          </w:rPr>
          <w:t>kcell</w:t>
        </w:r>
        <w:proofErr w:type="spellEnd"/>
        <w:r w:rsidRPr="00E1126C">
          <w:rPr>
            <w:rStyle w:val="a4"/>
            <w:lang w:val="ru-RU"/>
          </w:rPr>
          <w:t>.</w:t>
        </w:r>
        <w:proofErr w:type="spellStart"/>
        <w:r w:rsidRPr="00E1126C">
          <w:rPr>
            <w:rStyle w:val="a4"/>
          </w:rPr>
          <w:t>kz</w:t>
        </w:r>
        <w:proofErr w:type="spellEnd"/>
        <w:r w:rsidRPr="00E1126C">
          <w:rPr>
            <w:rStyle w:val="a4"/>
            <w:lang w:val="ru-RU"/>
          </w:rPr>
          <w:t>/</w:t>
        </w:r>
        <w:proofErr w:type="spellStart"/>
        <w:r w:rsidRPr="00E1126C">
          <w:rPr>
            <w:rStyle w:val="a4"/>
          </w:rPr>
          <w:t>ru</w:t>
        </w:r>
        <w:proofErr w:type="spellEnd"/>
        <w:r w:rsidRPr="00E1126C">
          <w:rPr>
            <w:rStyle w:val="a4"/>
            <w:lang w:val="ru-RU"/>
          </w:rPr>
          <w:t>/</w:t>
        </w:r>
        <w:r w:rsidRPr="00E1126C">
          <w:rPr>
            <w:rStyle w:val="a4"/>
          </w:rPr>
          <w:t>b</w:t>
        </w:r>
        <w:r w:rsidRPr="00E1126C">
          <w:rPr>
            <w:rStyle w:val="a4"/>
            <w:lang w:val="ru-RU"/>
          </w:rPr>
          <w:t>2</w:t>
        </w:r>
        <w:r w:rsidRPr="00E1126C">
          <w:rPr>
            <w:rStyle w:val="a4"/>
          </w:rPr>
          <w:t>b</w:t>
        </w:r>
        <w:r w:rsidRPr="00E1126C">
          <w:rPr>
            <w:rStyle w:val="a4"/>
            <w:lang w:val="ru-RU"/>
          </w:rPr>
          <w:t>.</w:t>
        </w:r>
        <w:r w:rsidRPr="00E1126C">
          <w:rPr>
            <w:rStyle w:val="a4"/>
          </w:rPr>
          <w:t>account</w:t>
        </w:r>
        <w:r w:rsidRPr="00E1126C">
          <w:rPr>
            <w:rStyle w:val="a4"/>
            <w:lang w:val="ru-RU"/>
          </w:rPr>
          <w:t>/</w:t>
        </w:r>
        <w:proofErr w:type="spellStart"/>
        <w:r w:rsidRPr="00E1126C">
          <w:rPr>
            <w:rStyle w:val="a4"/>
          </w:rPr>
          <w:t>eregistry</w:t>
        </w:r>
        <w:proofErr w:type="spellEnd"/>
        <w:r w:rsidRPr="00E1126C">
          <w:rPr>
            <w:rStyle w:val="a4"/>
            <w:lang w:val="ru-RU"/>
          </w:rPr>
          <w:t>/2369</w:t>
        </w:r>
      </w:hyperlink>
      <w:r w:rsidRPr="00E1126C">
        <w:rPr>
          <w:lang w:val="ru-RU"/>
        </w:rPr>
        <w:t xml:space="preserve"> </w:t>
      </w:r>
      <w:r w:rsidRPr="00921FD2">
        <w:rPr>
          <w:sz w:val="22"/>
          <w:lang w:val="ru-RU"/>
        </w:rPr>
        <w:t xml:space="preserve"> с указанием абонентских номеров и оплачиваемых сумм по каждому абонентскому номеру.</w:t>
      </w:r>
      <w:bookmarkEnd w:id="4"/>
    </w:p>
    <w:p w14:paraId="0A110BDA" w14:textId="1E4FA57E" w:rsidR="00453349" w:rsidRDefault="00453349" w:rsidP="00453349">
      <w:pPr>
        <w:pStyle w:val="af0"/>
        <w:jc w:val="both"/>
        <w:rPr>
          <w:sz w:val="22"/>
          <w:szCs w:val="22"/>
          <w:lang w:val="ru-RU"/>
        </w:rPr>
      </w:pPr>
    </w:p>
    <w:p w14:paraId="708C924F" w14:textId="4CADC066" w:rsidR="00D043A6" w:rsidRPr="00E1126C" w:rsidRDefault="00D043A6" w:rsidP="00453349">
      <w:pPr>
        <w:pStyle w:val="af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Настоящий документ доступен к подписанию живой подписью, либо ЭЦП.</w:t>
      </w:r>
    </w:p>
    <w:p w14:paraId="4B005C9F" w14:textId="5E542934" w:rsidR="00453349" w:rsidRPr="00E1126C" w:rsidRDefault="00D043A6" w:rsidP="00453349">
      <w:pPr>
        <w:pStyle w:val="af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</w:t>
      </w:r>
      <w:r w:rsidR="00453349" w:rsidRPr="00E1126C">
        <w:rPr>
          <w:sz w:val="22"/>
          <w:szCs w:val="22"/>
          <w:lang w:val="ru-RU"/>
        </w:rPr>
        <w:t xml:space="preserve">окумент, подписанный с использованием ЭЦП признается электронным документом, равнозначным документу на бумажном носителе, подписанному собственноручной подписью уполномоченного представителя Компании и порождает для сторон юридические последствия в виде установления, изменения и </w:t>
      </w:r>
      <w:proofErr w:type="gramStart"/>
      <w:r w:rsidR="00453349" w:rsidRPr="00E1126C">
        <w:rPr>
          <w:sz w:val="22"/>
          <w:szCs w:val="22"/>
          <w:lang w:val="ru-RU"/>
        </w:rPr>
        <w:t>прекращения</w:t>
      </w:r>
      <w:proofErr w:type="gramEnd"/>
      <w:r w:rsidR="00453349" w:rsidRPr="00E1126C">
        <w:rPr>
          <w:sz w:val="22"/>
          <w:szCs w:val="22"/>
          <w:lang w:val="ru-RU"/>
        </w:rPr>
        <w:t xml:space="preserve">  взаимных прав и обязанностей при одновременном соблюдении следующих условий:  подтверждена действительность сертификата ЭЦП с помощью которой подписан документ, на дату подписания; получен положительный результат проверки принадлежности владельцу сертификата ЭЦП, с помощью которой подписан настоящий электронный документ.</w:t>
      </w:r>
    </w:p>
    <w:p w14:paraId="67EE22F7" w14:textId="77777777" w:rsidR="00453349" w:rsidRPr="00E1126C" w:rsidRDefault="00453349" w:rsidP="00453349">
      <w:pPr>
        <w:pStyle w:val="af0"/>
        <w:jc w:val="both"/>
        <w:rPr>
          <w:sz w:val="22"/>
          <w:szCs w:val="22"/>
          <w:lang w:val="ru-RU"/>
        </w:rPr>
      </w:pPr>
      <w:r w:rsidRPr="00E1126C">
        <w:rPr>
          <w:sz w:val="23"/>
          <w:szCs w:val="23"/>
          <w:lang w:val="ru-RU"/>
        </w:rPr>
        <w:t>Компания несет ответственность за подлинность ключа ЭЦП, использование для подписания ключа ЭЦП уполномоченным лицом и за иные риски, которые могут возникнуть на стороне Компании в связи с подписанием документов с использованием ЭЦП.</w:t>
      </w:r>
    </w:p>
    <w:p w14:paraId="35C04A74" w14:textId="77777777" w:rsidR="00453349" w:rsidRPr="00921FD2" w:rsidRDefault="00453349" w:rsidP="00921FD2">
      <w:pPr>
        <w:spacing w:before="120" w:after="120"/>
        <w:jc w:val="both"/>
        <w:rPr>
          <w:sz w:val="22"/>
          <w:lang w:val="ru-RU"/>
        </w:rPr>
      </w:pPr>
      <w:r w:rsidRPr="00921FD2">
        <w:rPr>
          <w:sz w:val="22"/>
          <w:lang w:val="ru-RU"/>
        </w:rPr>
        <w:t xml:space="preserve">С полными условиями предоставления Тарифного плана ознакомлены и согласны. </w:t>
      </w:r>
    </w:p>
    <w:p w14:paraId="2CF50D1F" w14:textId="77777777" w:rsidR="00453349" w:rsidRPr="00921FD2" w:rsidRDefault="00453349" w:rsidP="00921FD2">
      <w:pPr>
        <w:spacing w:before="120" w:after="120"/>
        <w:rPr>
          <w:sz w:val="22"/>
          <w:lang w:val="ru-RU"/>
        </w:rPr>
      </w:pPr>
      <w:r w:rsidRPr="00921FD2">
        <w:rPr>
          <w:sz w:val="22"/>
          <w:lang w:val="ru-RU"/>
        </w:rPr>
        <w:lastRenderedPageBreak/>
        <w:t>Своевременную оплату оказанных услуг гарантируем.</w:t>
      </w:r>
    </w:p>
    <w:p w14:paraId="500534F4" w14:textId="77777777" w:rsidR="00453349" w:rsidRPr="00921FD2" w:rsidRDefault="00453349" w:rsidP="00921FD2">
      <w:pPr>
        <w:spacing w:before="120" w:after="120"/>
        <w:rPr>
          <w:sz w:val="22"/>
          <w:lang w:val="ru-RU"/>
        </w:rPr>
      </w:pPr>
      <w:r w:rsidRPr="00921FD2">
        <w:rPr>
          <w:sz w:val="22"/>
          <w:lang w:val="ru-RU"/>
        </w:rPr>
        <w:t>Подтверждаем свое согласие с тем, что в случае нарушения Компанией условий оказания услуг, включая, но, не ограничиваясь, нарушение сроков оплаты услуг, Оператор вправе приостановить оказание услуг полностью или частично.</w:t>
      </w:r>
    </w:p>
    <w:p w14:paraId="72CD548C" w14:textId="77777777" w:rsidR="00453349" w:rsidRPr="00921FD2" w:rsidRDefault="00453349" w:rsidP="00453349">
      <w:pPr>
        <w:rPr>
          <w:lang w:val="ru-RU"/>
        </w:rPr>
      </w:pPr>
    </w:p>
    <w:p w14:paraId="4431A435" w14:textId="77777777" w:rsidR="00453349" w:rsidRDefault="00453349" w:rsidP="00453349">
      <w:pPr>
        <w:rPr>
          <w:sz w:val="22"/>
          <w:szCs w:val="22"/>
          <w:lang w:val="ru-RU"/>
        </w:rPr>
      </w:pPr>
    </w:p>
    <w:p w14:paraId="12F2CCEE" w14:textId="77777777" w:rsidR="00FF6822" w:rsidRDefault="00FF6822" w:rsidP="00453349">
      <w:pPr>
        <w:rPr>
          <w:sz w:val="22"/>
          <w:szCs w:val="22"/>
          <w:lang w:val="ru-RU"/>
        </w:rPr>
      </w:pPr>
    </w:p>
    <w:p w14:paraId="06B5EAF4" w14:textId="77777777" w:rsidR="00FF6822" w:rsidRDefault="00FF6822" w:rsidP="0045334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Ф.И.О.</w:t>
      </w:r>
      <w:r>
        <w:rPr>
          <w:sz w:val="22"/>
          <w:szCs w:val="22"/>
          <w:lang w:val="ru-RU"/>
        </w:rPr>
        <w:t xml:space="preserve"> руководителя__________________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М.</w:t>
      </w:r>
      <w:proofErr w:type="gramStart"/>
      <w:r>
        <w:rPr>
          <w:sz w:val="22"/>
          <w:szCs w:val="22"/>
          <w:lang w:val="ru-RU"/>
        </w:rPr>
        <w:t>П</w:t>
      </w:r>
      <w:proofErr w:type="gramEnd"/>
      <w:r>
        <w:rPr>
          <w:sz w:val="22"/>
          <w:szCs w:val="22"/>
          <w:lang w:val="ru-RU"/>
        </w:rPr>
        <w:t xml:space="preserve">  (оригинал)_______________________</w:t>
      </w:r>
      <w:r>
        <w:rPr>
          <w:sz w:val="22"/>
          <w:szCs w:val="22"/>
          <w:lang w:val="ru-RU"/>
        </w:rPr>
        <w:tab/>
      </w:r>
    </w:p>
    <w:p w14:paraId="77186260" w14:textId="77777777" w:rsidR="00FF6822" w:rsidRDefault="00FF6822" w:rsidP="00453349">
      <w:pPr>
        <w:rPr>
          <w:sz w:val="22"/>
          <w:szCs w:val="22"/>
          <w:lang w:val="ru-RU"/>
        </w:rPr>
      </w:pPr>
    </w:p>
    <w:p w14:paraId="07AC80AF" w14:textId="7D82EC97" w:rsidR="00FF6822" w:rsidRPr="000954A6" w:rsidRDefault="00FF6822" w:rsidP="0045334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Ф.И.О. контактного лица _______________</w:t>
      </w:r>
      <w:bookmarkStart w:id="5" w:name="_GoBack"/>
      <w:bookmarkEnd w:id="5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</w:p>
    <w:sectPr w:rsidR="00FF6822" w:rsidRPr="000954A6" w:rsidSect="00DC64FE">
      <w:pgSz w:w="12240" w:h="15840"/>
      <w:pgMar w:top="1134" w:right="850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EE700" w14:textId="77777777" w:rsidR="001E4FD3" w:rsidRDefault="001E4FD3" w:rsidP="00453F17">
      <w:r>
        <w:separator/>
      </w:r>
    </w:p>
  </w:endnote>
  <w:endnote w:type="continuationSeparator" w:id="0">
    <w:p w14:paraId="2251F31E" w14:textId="77777777" w:rsidR="001E4FD3" w:rsidRDefault="001E4FD3" w:rsidP="0045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A8407" w14:textId="77777777" w:rsidR="001E4FD3" w:rsidRDefault="001E4FD3" w:rsidP="00453F17">
      <w:r>
        <w:separator/>
      </w:r>
    </w:p>
  </w:footnote>
  <w:footnote w:type="continuationSeparator" w:id="0">
    <w:p w14:paraId="72BCA192" w14:textId="77777777" w:rsidR="001E4FD3" w:rsidRDefault="001E4FD3" w:rsidP="0045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7C"/>
    <w:multiLevelType w:val="hybridMultilevel"/>
    <w:tmpl w:val="C994A6AE"/>
    <w:lvl w:ilvl="0" w:tplc="F2B83CE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24FF"/>
    <w:multiLevelType w:val="hybridMultilevel"/>
    <w:tmpl w:val="2A125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53210"/>
    <w:multiLevelType w:val="hybridMultilevel"/>
    <w:tmpl w:val="2C9E2688"/>
    <w:lvl w:ilvl="0" w:tplc="320075C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03C5"/>
    <w:multiLevelType w:val="hybridMultilevel"/>
    <w:tmpl w:val="9190EF98"/>
    <w:lvl w:ilvl="0" w:tplc="5BB6DEF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C68D7"/>
    <w:multiLevelType w:val="hybridMultilevel"/>
    <w:tmpl w:val="E75439EA"/>
    <w:lvl w:ilvl="0" w:tplc="DFA4531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838AD"/>
    <w:multiLevelType w:val="hybridMultilevel"/>
    <w:tmpl w:val="E29AE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37232C"/>
    <w:multiLevelType w:val="hybridMultilevel"/>
    <w:tmpl w:val="1C5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30243"/>
    <w:multiLevelType w:val="hybridMultilevel"/>
    <w:tmpl w:val="B6BCF35E"/>
    <w:lvl w:ilvl="0" w:tplc="D8828BE8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71E2A"/>
    <w:multiLevelType w:val="hybridMultilevel"/>
    <w:tmpl w:val="EF3E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71"/>
    <w:rsid w:val="00001205"/>
    <w:rsid w:val="00002A76"/>
    <w:rsid w:val="00005256"/>
    <w:rsid w:val="0000607B"/>
    <w:rsid w:val="000108A3"/>
    <w:rsid w:val="00011FEF"/>
    <w:rsid w:val="00023F63"/>
    <w:rsid w:val="00034EDD"/>
    <w:rsid w:val="000954A6"/>
    <w:rsid w:val="000B0E62"/>
    <w:rsid w:val="000D5DBE"/>
    <w:rsid w:val="000F194C"/>
    <w:rsid w:val="000F7FA9"/>
    <w:rsid w:val="00101286"/>
    <w:rsid w:val="00104DDF"/>
    <w:rsid w:val="00110133"/>
    <w:rsid w:val="0012288C"/>
    <w:rsid w:val="001235CF"/>
    <w:rsid w:val="00152237"/>
    <w:rsid w:val="001536CD"/>
    <w:rsid w:val="001572A0"/>
    <w:rsid w:val="001700AA"/>
    <w:rsid w:val="00172D4C"/>
    <w:rsid w:val="00184CA0"/>
    <w:rsid w:val="00196A82"/>
    <w:rsid w:val="001C073F"/>
    <w:rsid w:val="001E4FD3"/>
    <w:rsid w:val="002007D6"/>
    <w:rsid w:val="00205BEA"/>
    <w:rsid w:val="00210EA2"/>
    <w:rsid w:val="00234772"/>
    <w:rsid w:val="00243798"/>
    <w:rsid w:val="00254588"/>
    <w:rsid w:val="00274DAA"/>
    <w:rsid w:val="0029232B"/>
    <w:rsid w:val="002B1F8F"/>
    <w:rsid w:val="002D3076"/>
    <w:rsid w:val="00306B65"/>
    <w:rsid w:val="00335DDF"/>
    <w:rsid w:val="00345BB5"/>
    <w:rsid w:val="0035381A"/>
    <w:rsid w:val="00354474"/>
    <w:rsid w:val="00355D86"/>
    <w:rsid w:val="00367368"/>
    <w:rsid w:val="003677E8"/>
    <w:rsid w:val="00370A0C"/>
    <w:rsid w:val="00370EBC"/>
    <w:rsid w:val="003A0BCB"/>
    <w:rsid w:val="003A3225"/>
    <w:rsid w:val="003B0C4D"/>
    <w:rsid w:val="003B70A1"/>
    <w:rsid w:val="003C34CD"/>
    <w:rsid w:val="003C6388"/>
    <w:rsid w:val="003F42F8"/>
    <w:rsid w:val="003F7E0C"/>
    <w:rsid w:val="00411D99"/>
    <w:rsid w:val="00427574"/>
    <w:rsid w:val="0044076C"/>
    <w:rsid w:val="0044764C"/>
    <w:rsid w:val="0045056E"/>
    <w:rsid w:val="00452579"/>
    <w:rsid w:val="00453349"/>
    <w:rsid w:val="00453F17"/>
    <w:rsid w:val="00464C11"/>
    <w:rsid w:val="004860B6"/>
    <w:rsid w:val="00486F83"/>
    <w:rsid w:val="0049123A"/>
    <w:rsid w:val="00495E08"/>
    <w:rsid w:val="004A1768"/>
    <w:rsid w:val="004A342D"/>
    <w:rsid w:val="004B3E5C"/>
    <w:rsid w:val="004B6587"/>
    <w:rsid w:val="004C3060"/>
    <w:rsid w:val="004C71FA"/>
    <w:rsid w:val="004E05B9"/>
    <w:rsid w:val="00520BBA"/>
    <w:rsid w:val="005461FF"/>
    <w:rsid w:val="00580FB1"/>
    <w:rsid w:val="00581C24"/>
    <w:rsid w:val="00594935"/>
    <w:rsid w:val="00594ED1"/>
    <w:rsid w:val="005B0E86"/>
    <w:rsid w:val="005B4DF4"/>
    <w:rsid w:val="005B6F85"/>
    <w:rsid w:val="005C2D11"/>
    <w:rsid w:val="005C6F89"/>
    <w:rsid w:val="005D24C6"/>
    <w:rsid w:val="005E24E0"/>
    <w:rsid w:val="00602E9B"/>
    <w:rsid w:val="00611F54"/>
    <w:rsid w:val="0062554A"/>
    <w:rsid w:val="00650CE6"/>
    <w:rsid w:val="00683F8E"/>
    <w:rsid w:val="00686252"/>
    <w:rsid w:val="00695C61"/>
    <w:rsid w:val="006A1225"/>
    <w:rsid w:val="006A3A1A"/>
    <w:rsid w:val="006B30E3"/>
    <w:rsid w:val="006C4E64"/>
    <w:rsid w:val="006C7BE6"/>
    <w:rsid w:val="006F52D4"/>
    <w:rsid w:val="007002CF"/>
    <w:rsid w:val="007177B5"/>
    <w:rsid w:val="0072317C"/>
    <w:rsid w:val="00733979"/>
    <w:rsid w:val="007635FC"/>
    <w:rsid w:val="007854A1"/>
    <w:rsid w:val="007932C5"/>
    <w:rsid w:val="0079418A"/>
    <w:rsid w:val="007A4371"/>
    <w:rsid w:val="00812D72"/>
    <w:rsid w:val="00816079"/>
    <w:rsid w:val="00822250"/>
    <w:rsid w:val="0083166F"/>
    <w:rsid w:val="008403F4"/>
    <w:rsid w:val="00867F66"/>
    <w:rsid w:val="00873D43"/>
    <w:rsid w:val="008742C3"/>
    <w:rsid w:val="00893AD9"/>
    <w:rsid w:val="00893C2B"/>
    <w:rsid w:val="00893D36"/>
    <w:rsid w:val="008A746A"/>
    <w:rsid w:val="008C322E"/>
    <w:rsid w:val="008D5ACD"/>
    <w:rsid w:val="008E143F"/>
    <w:rsid w:val="008E6F76"/>
    <w:rsid w:val="00910A9F"/>
    <w:rsid w:val="00912568"/>
    <w:rsid w:val="009161F9"/>
    <w:rsid w:val="00921FD2"/>
    <w:rsid w:val="00955D40"/>
    <w:rsid w:val="00956BED"/>
    <w:rsid w:val="0096267C"/>
    <w:rsid w:val="00984056"/>
    <w:rsid w:val="009A3F23"/>
    <w:rsid w:val="009C2E6B"/>
    <w:rsid w:val="009C4DAD"/>
    <w:rsid w:val="00A245D6"/>
    <w:rsid w:val="00A31BFE"/>
    <w:rsid w:val="00A4731B"/>
    <w:rsid w:val="00A758FA"/>
    <w:rsid w:val="00A77FF7"/>
    <w:rsid w:val="00A82CD6"/>
    <w:rsid w:val="00A9595C"/>
    <w:rsid w:val="00AB334A"/>
    <w:rsid w:val="00AB657A"/>
    <w:rsid w:val="00AC07EA"/>
    <w:rsid w:val="00AC512B"/>
    <w:rsid w:val="00AD5820"/>
    <w:rsid w:val="00AE143D"/>
    <w:rsid w:val="00AE5B52"/>
    <w:rsid w:val="00AF572B"/>
    <w:rsid w:val="00AF6C21"/>
    <w:rsid w:val="00AF7166"/>
    <w:rsid w:val="00B64675"/>
    <w:rsid w:val="00B70618"/>
    <w:rsid w:val="00B94568"/>
    <w:rsid w:val="00B95D6A"/>
    <w:rsid w:val="00BA331A"/>
    <w:rsid w:val="00BB0E08"/>
    <w:rsid w:val="00BB3397"/>
    <w:rsid w:val="00BB5B4B"/>
    <w:rsid w:val="00BC1D9F"/>
    <w:rsid w:val="00BE037B"/>
    <w:rsid w:val="00C05528"/>
    <w:rsid w:val="00C07CDF"/>
    <w:rsid w:val="00C51E28"/>
    <w:rsid w:val="00C54A92"/>
    <w:rsid w:val="00C70BBE"/>
    <w:rsid w:val="00C74B28"/>
    <w:rsid w:val="00C75B24"/>
    <w:rsid w:val="00C833E7"/>
    <w:rsid w:val="00C85355"/>
    <w:rsid w:val="00C87766"/>
    <w:rsid w:val="00C91D04"/>
    <w:rsid w:val="00C94858"/>
    <w:rsid w:val="00CB18F9"/>
    <w:rsid w:val="00CF1170"/>
    <w:rsid w:val="00CF68FC"/>
    <w:rsid w:val="00D02FB0"/>
    <w:rsid w:val="00D043A6"/>
    <w:rsid w:val="00D21171"/>
    <w:rsid w:val="00D27597"/>
    <w:rsid w:val="00D27B93"/>
    <w:rsid w:val="00D32B9E"/>
    <w:rsid w:val="00D33D33"/>
    <w:rsid w:val="00D35BB9"/>
    <w:rsid w:val="00D410E4"/>
    <w:rsid w:val="00D602B9"/>
    <w:rsid w:val="00D705FD"/>
    <w:rsid w:val="00DA1AE1"/>
    <w:rsid w:val="00DA5354"/>
    <w:rsid w:val="00DB4DFD"/>
    <w:rsid w:val="00DC1CCA"/>
    <w:rsid w:val="00DC20FA"/>
    <w:rsid w:val="00DC64FE"/>
    <w:rsid w:val="00DD0AB6"/>
    <w:rsid w:val="00DE4A96"/>
    <w:rsid w:val="00DE7A40"/>
    <w:rsid w:val="00DF27E9"/>
    <w:rsid w:val="00E1126C"/>
    <w:rsid w:val="00E1484F"/>
    <w:rsid w:val="00E3068C"/>
    <w:rsid w:val="00E42D83"/>
    <w:rsid w:val="00E85AAA"/>
    <w:rsid w:val="00EA096C"/>
    <w:rsid w:val="00EA4C97"/>
    <w:rsid w:val="00EB1ACD"/>
    <w:rsid w:val="00EB761A"/>
    <w:rsid w:val="00ED1E73"/>
    <w:rsid w:val="00ED4B76"/>
    <w:rsid w:val="00ED6DDF"/>
    <w:rsid w:val="00EE0A29"/>
    <w:rsid w:val="00EE24A8"/>
    <w:rsid w:val="00EE2DE7"/>
    <w:rsid w:val="00EE55F0"/>
    <w:rsid w:val="00EF76E4"/>
    <w:rsid w:val="00F24267"/>
    <w:rsid w:val="00F377FC"/>
    <w:rsid w:val="00F51428"/>
    <w:rsid w:val="00F7356B"/>
    <w:rsid w:val="00F74726"/>
    <w:rsid w:val="00F76DC6"/>
    <w:rsid w:val="00F90244"/>
    <w:rsid w:val="00F91AB7"/>
    <w:rsid w:val="00FB2559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5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3F17"/>
    <w:rPr>
      <w:color w:val="0000FF"/>
      <w:u w:val="single"/>
    </w:rPr>
  </w:style>
  <w:style w:type="paragraph" w:styleId="a5">
    <w:name w:val="footnote text"/>
    <w:basedOn w:val="a"/>
    <w:link w:val="a6"/>
    <w:semiHidden/>
    <w:rsid w:val="00453F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53F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semiHidden/>
    <w:rsid w:val="00453F17"/>
    <w:rPr>
      <w:vertAlign w:val="superscript"/>
    </w:rPr>
  </w:style>
  <w:style w:type="paragraph" w:styleId="a8">
    <w:name w:val="List Paragraph"/>
    <w:basedOn w:val="a"/>
    <w:uiPriority w:val="72"/>
    <w:qFormat/>
    <w:rsid w:val="004B3E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DF"/>
    <w:rPr>
      <w:rFonts w:ascii="Tahoma" w:eastAsia="Batang" w:hAnsi="Tahoma" w:cs="Tahoma"/>
      <w:sz w:val="16"/>
      <w:szCs w:val="16"/>
      <w:lang w:val="en-US"/>
    </w:rPr>
  </w:style>
  <w:style w:type="character" w:styleId="ab">
    <w:name w:val="annotation reference"/>
    <w:basedOn w:val="a0"/>
    <w:uiPriority w:val="99"/>
    <w:semiHidden/>
    <w:unhideWhenUsed/>
    <w:rsid w:val="00335D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5D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5DDF"/>
    <w:rPr>
      <w:rFonts w:ascii="Times New Roman" w:eastAsia="Batang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5D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5DDF"/>
    <w:rPr>
      <w:rFonts w:ascii="Times New Roman" w:eastAsia="Batang" w:hAnsi="Times New Roman" w:cs="Times New Roman"/>
      <w:b/>
      <w:bCs/>
      <w:sz w:val="20"/>
      <w:szCs w:val="20"/>
      <w:lang w:val="en-US"/>
    </w:rPr>
  </w:style>
  <w:style w:type="paragraph" w:styleId="af0">
    <w:name w:val="No Spacing"/>
    <w:link w:val="af1"/>
    <w:uiPriority w:val="1"/>
    <w:qFormat/>
    <w:rsid w:val="004C71F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59"/>
    <w:rsid w:val="00695C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5949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110133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locked/>
    <w:rsid w:val="00453349"/>
    <w:rPr>
      <w:rFonts w:ascii="Times New Roman" w:eastAsia="Batang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1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1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53F17"/>
    <w:rPr>
      <w:color w:val="0000FF"/>
      <w:u w:val="single"/>
    </w:rPr>
  </w:style>
  <w:style w:type="paragraph" w:styleId="a5">
    <w:name w:val="footnote text"/>
    <w:basedOn w:val="a"/>
    <w:link w:val="a6"/>
    <w:semiHidden/>
    <w:rsid w:val="00453F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53F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semiHidden/>
    <w:rsid w:val="00453F17"/>
    <w:rPr>
      <w:vertAlign w:val="superscript"/>
    </w:rPr>
  </w:style>
  <w:style w:type="paragraph" w:styleId="a8">
    <w:name w:val="List Paragraph"/>
    <w:basedOn w:val="a"/>
    <w:uiPriority w:val="72"/>
    <w:qFormat/>
    <w:rsid w:val="004B3E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35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DF"/>
    <w:rPr>
      <w:rFonts w:ascii="Tahoma" w:eastAsia="Batang" w:hAnsi="Tahoma" w:cs="Tahoma"/>
      <w:sz w:val="16"/>
      <w:szCs w:val="16"/>
      <w:lang w:val="en-US"/>
    </w:rPr>
  </w:style>
  <w:style w:type="character" w:styleId="ab">
    <w:name w:val="annotation reference"/>
    <w:basedOn w:val="a0"/>
    <w:uiPriority w:val="99"/>
    <w:semiHidden/>
    <w:unhideWhenUsed/>
    <w:rsid w:val="00335DD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35DD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35DDF"/>
    <w:rPr>
      <w:rFonts w:ascii="Times New Roman" w:eastAsia="Batang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5DD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35DDF"/>
    <w:rPr>
      <w:rFonts w:ascii="Times New Roman" w:eastAsia="Batang" w:hAnsi="Times New Roman" w:cs="Times New Roman"/>
      <w:b/>
      <w:bCs/>
      <w:sz w:val="20"/>
      <w:szCs w:val="20"/>
      <w:lang w:val="en-US"/>
    </w:rPr>
  </w:style>
  <w:style w:type="paragraph" w:styleId="af0">
    <w:name w:val="No Spacing"/>
    <w:link w:val="af1"/>
    <w:uiPriority w:val="1"/>
    <w:qFormat/>
    <w:rsid w:val="004C71F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59"/>
    <w:rsid w:val="00695C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59493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110133"/>
    <w:rPr>
      <w:color w:val="605E5C"/>
      <w:shd w:val="clear" w:color="auto" w:fill="E1DFDD"/>
    </w:rPr>
  </w:style>
  <w:style w:type="character" w:customStyle="1" w:styleId="af1">
    <w:name w:val="Без интервала Знак"/>
    <w:link w:val="af0"/>
    <w:uiPriority w:val="1"/>
    <w:locked/>
    <w:rsid w:val="00453349"/>
    <w:rPr>
      <w:rFonts w:ascii="Times New Roman" w:eastAsia="Batang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b2b.kcell.kz/ru/b2b.account/eregistry/236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8690335E3F45B6D32F35E393220A" ma:contentTypeVersion="0" ma:contentTypeDescription="Create a new document." ma:contentTypeScope="" ma:versionID="7bebcf5451cb4fd0a5969123f2c8b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388C-2691-4B77-8CE6-B7CB3070D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0EA3E-C738-4F34-9FBB-6FDED88DD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808D2-EC19-412D-A90A-6BA7EC54B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6E0915-00CD-4631-9512-938F5A88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 на подключение ТП</vt:lpstr>
      <vt:lpstr>Заявление на подключение (кредит)-Бизнес Класс</vt:lpstr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подключение ТП</dc:title>
  <dc:creator>Maya Sadykova</dc:creator>
  <cp:lastModifiedBy>Akmaral Aldasheva</cp:lastModifiedBy>
  <cp:revision>2</cp:revision>
  <dcterms:created xsi:type="dcterms:W3CDTF">2022-04-06T10:41:00Z</dcterms:created>
  <dcterms:modified xsi:type="dcterms:W3CDTF">2022-04-06T10:41:00Z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0x010100BB748690335E3F45B6D32F35E393220A</vt:lpwstr>
  </property>
  <property fmtid="{D5CDD505-2E9C-101B-9397-08002B2CF9AE}" pid="3" name="_dlc_DocIdItemGuid">
    <vt:lpwstr>0422ce1f-83ee-41d3-bb3a-1e8c35ca7366</vt:lpwstr>
  </property>
</Properties>
</file>